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DA6C6">
      <w:pPr>
        <w:pStyle w:val="2"/>
        <w:bidi w:val="0"/>
        <w:jc w:val="center"/>
        <w:outlineLvl w:val="0"/>
        <w:rPr>
          <w:rFonts w:hint="default" w:eastAsia="宋体"/>
          <w:lang w:val="en-US" w:eastAsia="zh-CN"/>
        </w:rPr>
      </w:pPr>
      <w:r>
        <w:rPr>
          <w:rFonts w:hint="eastAsia"/>
          <w:lang w:val="en-US" w:eastAsia="zh-CN"/>
        </w:rPr>
        <w:t>医用耗材评分办法</w:t>
      </w:r>
    </w:p>
    <w:p w14:paraId="70DC1CC4">
      <w:pPr>
        <w:pStyle w:val="3"/>
        <w:spacing w:line="360" w:lineRule="auto"/>
        <w:ind w:firstLine="480"/>
        <w:rPr>
          <w:rFonts w:hint="eastAsia" w:asciiTheme="minorEastAsia" w:hAnsiTheme="minorEastAsia" w:eastAsiaTheme="minorEastAsia"/>
          <w:b w:val="0"/>
          <w:bCs w:val="0"/>
          <w:sz w:val="24"/>
          <w:szCs w:val="24"/>
          <w:lang w:val="en-US" w:eastAsia="zh-CN"/>
        </w:rPr>
      </w:pPr>
      <w:r>
        <w:rPr>
          <w:rFonts w:hint="eastAsia" w:asciiTheme="minorEastAsia" w:hAnsiTheme="minorEastAsia" w:eastAsiaTheme="minorEastAsia"/>
          <w:sz w:val="24"/>
          <w:szCs w:val="24"/>
          <w:lang w:val="en-US" w:eastAsia="zh-CN"/>
        </w:rPr>
        <w:t>综合评分法：</w:t>
      </w:r>
      <w:r>
        <w:rPr>
          <w:rFonts w:hint="eastAsia" w:asciiTheme="minorEastAsia" w:hAnsiTheme="minorEastAsia" w:eastAsiaTheme="minorEastAsia"/>
          <w:b w:val="0"/>
          <w:bCs w:val="0"/>
          <w:sz w:val="24"/>
          <w:szCs w:val="24"/>
          <w:lang w:val="en-US" w:eastAsia="zh-CN"/>
        </w:rPr>
        <w:t>评审专家根据综合报价、技术、服务水平、履约能力、售后服务等因素进行评分，各参与企业的总得分为每个评委评分的汇总平均得分，如果两个参与人的综合评分相同时，取报价低者。</w:t>
      </w:r>
    </w:p>
    <w:tbl>
      <w:tblPr>
        <w:tblStyle w:val="4"/>
        <w:tblW w:w="9390" w:type="dxa"/>
        <w:jc w:val="center"/>
        <w:shd w:val="clear" w:color="auto" w:fill="auto"/>
        <w:tblLayout w:type="fixed"/>
        <w:tblCellMar>
          <w:top w:w="0" w:type="dxa"/>
          <w:left w:w="0" w:type="dxa"/>
          <w:bottom w:w="0" w:type="dxa"/>
          <w:right w:w="0" w:type="dxa"/>
        </w:tblCellMar>
      </w:tblPr>
      <w:tblGrid>
        <w:gridCol w:w="735"/>
        <w:gridCol w:w="1530"/>
        <w:gridCol w:w="7125"/>
      </w:tblGrid>
      <w:tr w14:paraId="21273038">
        <w:tblPrEx>
          <w:shd w:val="clear" w:color="auto" w:fill="auto"/>
          <w:tblCellMar>
            <w:top w:w="0" w:type="dxa"/>
            <w:left w:w="0" w:type="dxa"/>
            <w:bottom w:w="0" w:type="dxa"/>
            <w:right w:w="0" w:type="dxa"/>
          </w:tblCellMar>
        </w:tblPrEx>
        <w:trPr>
          <w:trHeight w:val="265" w:hRule="atLeast"/>
          <w:jc w:val="center"/>
        </w:trPr>
        <w:tc>
          <w:tcPr>
            <w:tcW w:w="9390" w:type="dxa"/>
            <w:gridSpan w:val="3"/>
            <w:tcBorders>
              <w:top w:val="nil"/>
              <w:left w:val="nil"/>
              <w:bottom w:val="nil"/>
              <w:right w:val="nil"/>
            </w:tcBorders>
            <w:shd w:val="clear" w:color="auto" w:fill="auto"/>
            <w:tcMar>
              <w:top w:w="15" w:type="dxa"/>
              <w:left w:w="15" w:type="dxa"/>
              <w:right w:w="15" w:type="dxa"/>
            </w:tcMar>
            <w:vAlign w:val="center"/>
          </w:tcPr>
          <w:p w14:paraId="772FF2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32"/>
                <w:szCs w:val="32"/>
                <w:u w:val="none"/>
              </w:rPr>
            </w:pPr>
            <w:r>
              <w:rPr>
                <w:rFonts w:hint="eastAsia" w:cs="Times New Roman" w:asciiTheme="minorEastAsia" w:hAnsiTheme="minorEastAsia" w:eastAsiaTheme="minorEastAsia"/>
                <w:b/>
                <w:bCs/>
                <w:kern w:val="2"/>
                <w:sz w:val="24"/>
                <w:szCs w:val="24"/>
                <w:lang w:val="en-US" w:eastAsia="zh-CN" w:bidi="ar-SA"/>
              </w:rPr>
              <w:t>评分标准和细则</w:t>
            </w:r>
          </w:p>
        </w:tc>
      </w:tr>
      <w:tr w14:paraId="4D95DA78">
        <w:tblPrEx>
          <w:shd w:val="clear" w:color="auto" w:fill="auto"/>
          <w:tblCellMar>
            <w:top w:w="0" w:type="dxa"/>
            <w:left w:w="0" w:type="dxa"/>
            <w:bottom w:w="0" w:type="dxa"/>
            <w:right w:w="0" w:type="dxa"/>
          </w:tblCellMar>
        </w:tblPrEx>
        <w:trPr>
          <w:trHeight w:val="39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67052">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8F342">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评分</w:t>
            </w:r>
            <w:r>
              <w:rPr>
                <w:rFonts w:hint="eastAsia" w:ascii="宋体" w:hAnsi="宋体" w:cs="宋体"/>
                <w:b/>
                <w:i w:val="0"/>
                <w:color w:val="000000"/>
                <w:kern w:val="0"/>
                <w:sz w:val="22"/>
                <w:szCs w:val="22"/>
                <w:u w:val="none"/>
                <w:lang w:val="en-US" w:eastAsia="zh-CN" w:bidi="ar"/>
              </w:rPr>
              <w:t>因素</w:t>
            </w:r>
          </w:p>
        </w:tc>
        <w:tc>
          <w:tcPr>
            <w:tcW w:w="7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069B2">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权重</w:t>
            </w:r>
          </w:p>
        </w:tc>
      </w:tr>
      <w:tr w14:paraId="28EC5B3F">
        <w:tblPrEx>
          <w:tblCellMar>
            <w:top w:w="0" w:type="dxa"/>
            <w:left w:w="0" w:type="dxa"/>
            <w:bottom w:w="0" w:type="dxa"/>
            <w:right w:w="0" w:type="dxa"/>
          </w:tblCellMar>
        </w:tblPrEx>
        <w:trPr>
          <w:trHeight w:val="100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54B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leftChars="0" w:right="0" w:firstLine="0" w:firstLineChars="0"/>
              <w:jc w:val="center"/>
              <w:textAlignment w:val="center"/>
              <w:rPr>
                <w:rFonts w:hint="eastAsia" w:ascii="宋体" w:hAnsi="宋体" w:eastAsia="宋体" w:cs="宋体"/>
                <w:b w:val="0"/>
                <w:bCs/>
                <w:i w:val="0"/>
                <w:color w:val="000000"/>
                <w:sz w:val="22"/>
                <w:szCs w:val="22"/>
                <w:u w:val="none"/>
              </w:rPr>
            </w:pPr>
            <w:r>
              <w:rPr>
                <w:rFonts w:hint="eastAsia" w:ascii="宋体" w:hAnsi="宋体" w:eastAsia="宋体" w:cs="宋体"/>
                <w:b w:val="0"/>
                <w:bCs/>
                <w:i w:val="0"/>
                <w:color w:val="000000"/>
                <w:kern w:val="0"/>
                <w:sz w:val="22"/>
                <w:szCs w:val="22"/>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37AD3">
            <w:pPr>
              <w:keepNext w:val="0"/>
              <w:keepLines w:val="0"/>
              <w:widowControl/>
              <w:suppressLineNumbers w:val="0"/>
              <w:spacing w:before="0" w:beforeAutospacing="0" w:after="0" w:afterAutospacing="0" w:line="240" w:lineRule="auto"/>
              <w:ind w:left="0" w:leftChars="0" w:right="0" w:firstLine="0" w:firstLineChars="0"/>
              <w:jc w:val="center"/>
              <w:textAlignment w:val="center"/>
              <w:rPr>
                <w:rFonts w:hint="eastAsia" w:ascii="宋体" w:hAnsi="宋体" w:cs="Arial"/>
                <w:color w:val="auto"/>
                <w:sz w:val="24"/>
                <w:highlight w:val="none"/>
              </w:rPr>
            </w:pPr>
            <w:r>
              <w:rPr>
                <w:rFonts w:hint="eastAsia" w:ascii="宋体" w:hAnsi="宋体" w:cs="Arial"/>
                <w:color w:val="auto"/>
                <w:sz w:val="24"/>
                <w:highlight w:val="none"/>
                <w:lang w:val="en-US" w:eastAsia="zh-CN"/>
              </w:rPr>
              <w:t>价格部分30分</w:t>
            </w:r>
          </w:p>
        </w:tc>
        <w:tc>
          <w:tcPr>
            <w:tcW w:w="7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79EC5">
            <w:pPr>
              <w:keepNext w:val="0"/>
              <w:keepLines w:val="0"/>
              <w:widowControl/>
              <w:suppressLineNumbers w:val="0"/>
              <w:spacing w:before="0" w:beforeAutospacing="0" w:after="0" w:afterAutospacing="0" w:line="240" w:lineRule="auto"/>
              <w:ind w:left="0" w:leftChars="0" w:right="0" w:firstLine="0" w:firstLineChars="0"/>
              <w:jc w:val="left"/>
              <w:textAlignment w:val="center"/>
              <w:rPr>
                <w:rFonts w:hint="eastAsia" w:ascii="宋体" w:hAnsi="宋体" w:cs="Arial"/>
                <w:color w:val="auto"/>
                <w:sz w:val="24"/>
                <w:highlight w:val="none"/>
                <w:lang w:val="en-US" w:eastAsia="zh-CN"/>
              </w:rPr>
            </w:pPr>
            <w:r>
              <w:rPr>
                <w:rFonts w:hint="eastAsia" w:ascii="宋体" w:hAnsi="宋体" w:cs="Arial"/>
                <w:color w:val="auto"/>
                <w:sz w:val="24"/>
                <w:highlight w:val="none"/>
                <w:lang w:val="en-US" w:eastAsia="zh-CN"/>
              </w:rPr>
              <w:t xml:space="preserve">报价得分=（遴选基准价/报价）*30；                           </w:t>
            </w:r>
          </w:p>
          <w:p w14:paraId="4A7C0B49">
            <w:pPr>
              <w:keepNext w:val="0"/>
              <w:keepLines w:val="0"/>
              <w:widowControl/>
              <w:suppressLineNumbers w:val="0"/>
              <w:spacing w:before="0" w:beforeAutospacing="0" w:after="0" w:afterAutospacing="0" w:line="240" w:lineRule="auto"/>
              <w:ind w:left="0" w:leftChars="0" w:right="0" w:firstLine="0" w:firstLineChars="0"/>
              <w:jc w:val="left"/>
              <w:textAlignment w:val="center"/>
              <w:rPr>
                <w:rFonts w:hint="default" w:ascii="宋体" w:hAnsi="宋体" w:cs="Arial"/>
                <w:color w:val="auto"/>
                <w:sz w:val="24"/>
                <w:highlight w:val="none"/>
                <w:lang w:val="en-US" w:eastAsia="zh-CN"/>
              </w:rPr>
            </w:pPr>
            <w:r>
              <w:rPr>
                <w:rFonts w:hint="eastAsia" w:ascii="宋体" w:hAnsi="宋体" w:cs="Arial"/>
                <w:color w:val="auto"/>
                <w:sz w:val="24"/>
                <w:highlight w:val="none"/>
                <w:lang w:val="en-US" w:eastAsia="zh-CN"/>
              </w:rPr>
              <w:t>遴选基准价为通过资格审查且满足临床使用需求和基本性能要求的最低报价；有多个规格型号的产品基准报价为所有规格型号报价的平均数。</w:t>
            </w:r>
          </w:p>
        </w:tc>
      </w:tr>
      <w:tr w14:paraId="46591777">
        <w:tblPrEx>
          <w:shd w:val="clear" w:color="auto" w:fill="auto"/>
          <w:tblCellMar>
            <w:top w:w="0" w:type="dxa"/>
            <w:left w:w="0" w:type="dxa"/>
            <w:bottom w:w="0" w:type="dxa"/>
            <w:right w:w="0" w:type="dxa"/>
          </w:tblCellMar>
        </w:tblPrEx>
        <w:trPr>
          <w:trHeight w:val="575" w:hRule="atLeast"/>
          <w:jc w:val="center"/>
        </w:trPr>
        <w:tc>
          <w:tcPr>
            <w:tcW w:w="73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44F7667">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2</w:t>
            </w:r>
          </w:p>
        </w:tc>
        <w:tc>
          <w:tcPr>
            <w:tcW w:w="153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4C6E58C">
            <w:pPr>
              <w:keepNext w:val="0"/>
              <w:keepLines w:val="0"/>
              <w:widowControl/>
              <w:suppressLineNumbers w:val="0"/>
              <w:spacing w:before="0" w:beforeAutospacing="0" w:after="0" w:afterAutospacing="0" w:line="240" w:lineRule="auto"/>
              <w:ind w:left="0" w:leftChars="0" w:right="0" w:firstLine="0" w:firstLineChars="0"/>
              <w:jc w:val="center"/>
              <w:textAlignment w:val="center"/>
              <w:rPr>
                <w:rFonts w:hint="default" w:ascii="宋体" w:hAnsi="宋体" w:cs="Arial"/>
                <w:color w:val="auto"/>
                <w:sz w:val="24"/>
                <w:highlight w:val="none"/>
                <w:lang w:val="en-US"/>
              </w:rPr>
            </w:pPr>
            <w:r>
              <w:rPr>
                <w:rFonts w:hint="eastAsia" w:ascii="宋体" w:hAnsi="宋体" w:cs="Arial"/>
                <w:color w:val="auto"/>
                <w:sz w:val="24"/>
                <w:highlight w:val="none"/>
                <w:lang w:val="en-US" w:eastAsia="zh-CN"/>
              </w:rPr>
              <w:t>技术要素40分</w:t>
            </w:r>
          </w:p>
        </w:tc>
        <w:tc>
          <w:tcPr>
            <w:tcW w:w="7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FC5C4C0">
            <w:pPr>
              <w:keepNext w:val="0"/>
              <w:keepLines w:val="0"/>
              <w:widowControl/>
              <w:suppressLineNumbers w:val="0"/>
              <w:spacing w:before="0" w:beforeAutospacing="0" w:after="0" w:afterAutospacing="0" w:line="240" w:lineRule="auto"/>
              <w:ind w:left="0" w:leftChars="0" w:right="0" w:firstLine="0" w:firstLineChars="0"/>
              <w:jc w:val="left"/>
              <w:textAlignment w:val="center"/>
              <w:rPr>
                <w:rFonts w:hint="default" w:ascii="宋体" w:hAnsi="宋体" w:cs="Arial"/>
                <w:color w:val="auto"/>
                <w:sz w:val="24"/>
                <w:highlight w:val="none"/>
                <w:lang w:val="en-US"/>
              </w:rPr>
            </w:pPr>
            <w:r>
              <w:rPr>
                <w:rFonts w:hint="eastAsia" w:ascii="宋体" w:hAnsi="宋体" w:cs="Arial"/>
                <w:color w:val="auto"/>
                <w:sz w:val="24"/>
                <w:highlight w:val="none"/>
                <w:lang w:val="en-US" w:eastAsia="zh-CN"/>
              </w:rPr>
              <w:t>在符合基本性能要求的基础上，根据产品的安全性（10分）、技术先进性（10分）、性能稳定性（10分）、临床适用性（10分）进行评分。</w:t>
            </w:r>
          </w:p>
        </w:tc>
      </w:tr>
      <w:tr w14:paraId="104C639C">
        <w:tblPrEx>
          <w:shd w:val="clear" w:color="auto" w:fill="auto"/>
          <w:tblCellMar>
            <w:top w:w="0" w:type="dxa"/>
            <w:left w:w="0" w:type="dxa"/>
            <w:bottom w:w="0" w:type="dxa"/>
            <w:right w:w="0" w:type="dxa"/>
          </w:tblCellMar>
        </w:tblPrEx>
        <w:trPr>
          <w:trHeight w:val="1060" w:hRule="atLeast"/>
          <w:jc w:val="center"/>
        </w:trPr>
        <w:tc>
          <w:tcPr>
            <w:tcW w:w="7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4F0E05">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color w:val="000000"/>
                <w:sz w:val="22"/>
                <w:szCs w:val="22"/>
                <w:u w:val="none"/>
              </w:rPr>
            </w:pPr>
            <w:r>
              <w:rPr>
                <w:rFonts w:hint="eastAsia" w:cs="宋体"/>
                <w:i w:val="0"/>
                <w:color w:val="000000"/>
                <w:kern w:val="0"/>
                <w:sz w:val="22"/>
                <w:szCs w:val="22"/>
                <w:u w:val="none"/>
                <w:lang w:val="en-US" w:eastAsia="zh-CN" w:bidi="ar"/>
              </w:rPr>
              <w:t>3</w:t>
            </w:r>
          </w:p>
        </w:tc>
        <w:tc>
          <w:tcPr>
            <w:tcW w:w="15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6E2D0">
            <w:pPr>
              <w:keepNext w:val="0"/>
              <w:keepLines w:val="0"/>
              <w:widowControl/>
              <w:suppressLineNumbers w:val="0"/>
              <w:spacing w:before="0" w:beforeAutospacing="0" w:after="0" w:afterAutospacing="0" w:line="240" w:lineRule="auto"/>
              <w:ind w:left="0" w:leftChars="0" w:right="0" w:firstLine="0" w:firstLineChars="0"/>
              <w:jc w:val="center"/>
              <w:textAlignment w:val="center"/>
              <w:rPr>
                <w:rFonts w:hint="default" w:ascii="宋体" w:hAnsi="宋体" w:cs="Arial"/>
                <w:color w:val="auto"/>
                <w:sz w:val="24"/>
                <w:highlight w:val="none"/>
                <w:lang w:val="en-US" w:eastAsia="zh-CN"/>
              </w:rPr>
            </w:pPr>
            <w:r>
              <w:rPr>
                <w:rFonts w:hint="eastAsia" w:ascii="宋体" w:hAnsi="宋体" w:cs="Arial"/>
                <w:color w:val="auto"/>
                <w:sz w:val="24"/>
                <w:highlight w:val="none"/>
                <w:lang w:val="en-US" w:eastAsia="zh-CN"/>
              </w:rPr>
              <w:t>业绩10分</w:t>
            </w:r>
          </w:p>
        </w:tc>
        <w:tc>
          <w:tcPr>
            <w:tcW w:w="7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FC1F6C">
            <w:pPr>
              <w:keepNext w:val="0"/>
              <w:keepLines w:val="0"/>
              <w:widowControl/>
              <w:suppressLineNumbers w:val="0"/>
              <w:spacing w:before="0" w:beforeAutospacing="0" w:after="0" w:afterAutospacing="0" w:line="240" w:lineRule="auto"/>
              <w:ind w:left="0" w:leftChars="0" w:right="0" w:firstLine="0" w:firstLineChars="0"/>
              <w:jc w:val="left"/>
              <w:textAlignment w:val="center"/>
              <w:rPr>
                <w:rFonts w:hint="eastAsia" w:ascii="宋体" w:hAnsi="宋体" w:cs="Arial"/>
                <w:color w:val="auto"/>
                <w:sz w:val="24"/>
                <w:highlight w:val="none"/>
              </w:rPr>
            </w:pPr>
            <w:r>
              <w:rPr>
                <w:rFonts w:hint="eastAsia" w:ascii="宋体" w:hAnsi="宋体" w:cs="Arial"/>
                <w:color w:val="auto"/>
                <w:sz w:val="24"/>
                <w:highlight w:val="none"/>
                <w:lang w:val="en-US" w:eastAsia="zh-CN"/>
              </w:rPr>
              <w:t>投标人提供其或生产厂家同产品的供货业绩，每提供一份1分，10分封顶，须提供供货合同、中标通知书复印件或发票复印件并加盖公章（以提交资料为准）。</w:t>
            </w:r>
          </w:p>
        </w:tc>
      </w:tr>
      <w:tr w14:paraId="2B2E17EE">
        <w:tblPrEx>
          <w:tblCellMar>
            <w:top w:w="0" w:type="dxa"/>
            <w:left w:w="0" w:type="dxa"/>
            <w:bottom w:w="0" w:type="dxa"/>
            <w:right w:w="0" w:type="dxa"/>
          </w:tblCellMar>
        </w:tblPrEx>
        <w:trPr>
          <w:trHeight w:val="685" w:hRule="atLeast"/>
          <w:jc w:val="center"/>
        </w:trPr>
        <w:tc>
          <w:tcPr>
            <w:tcW w:w="7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9CCFFF">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4</w:t>
            </w:r>
          </w:p>
        </w:tc>
        <w:tc>
          <w:tcPr>
            <w:tcW w:w="15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76F87">
            <w:pPr>
              <w:keepNext w:val="0"/>
              <w:keepLines w:val="0"/>
              <w:widowControl/>
              <w:suppressLineNumbers w:val="0"/>
              <w:spacing w:before="0" w:beforeAutospacing="0" w:after="0" w:afterAutospacing="0" w:line="240" w:lineRule="auto"/>
              <w:ind w:left="0" w:leftChars="0" w:right="0" w:firstLine="0" w:firstLineChars="0"/>
              <w:jc w:val="center"/>
              <w:textAlignment w:val="center"/>
              <w:rPr>
                <w:rFonts w:hint="default" w:ascii="宋体" w:hAnsi="宋体" w:cs="Arial"/>
                <w:color w:val="auto"/>
                <w:sz w:val="24"/>
                <w:highlight w:val="none"/>
                <w:lang w:val="en-US"/>
              </w:rPr>
            </w:pPr>
            <w:r>
              <w:rPr>
                <w:rFonts w:hint="eastAsia" w:ascii="宋体" w:hAnsi="宋体" w:cs="Arial"/>
                <w:color w:val="auto"/>
                <w:sz w:val="24"/>
                <w:highlight w:val="none"/>
                <w:lang w:val="en-US" w:eastAsia="zh-CN"/>
              </w:rPr>
              <w:t>配送/售后服务能力10分</w:t>
            </w:r>
          </w:p>
        </w:tc>
        <w:tc>
          <w:tcPr>
            <w:tcW w:w="71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F016059">
            <w:pPr>
              <w:keepNext w:val="0"/>
              <w:keepLines w:val="0"/>
              <w:widowControl/>
              <w:suppressLineNumbers w:val="0"/>
              <w:spacing w:before="0" w:beforeAutospacing="0" w:after="0" w:afterAutospacing="0" w:line="240" w:lineRule="auto"/>
              <w:ind w:left="0" w:leftChars="0" w:right="0" w:firstLine="0" w:firstLineChars="0"/>
              <w:jc w:val="left"/>
              <w:textAlignment w:val="center"/>
              <w:rPr>
                <w:rFonts w:hint="default" w:ascii="宋体" w:hAnsi="宋体" w:cs="Arial"/>
                <w:color w:val="auto"/>
                <w:sz w:val="24"/>
                <w:highlight w:val="none"/>
                <w:lang w:val="en-US" w:eastAsia="zh-CN"/>
              </w:rPr>
            </w:pPr>
            <w:r>
              <w:rPr>
                <w:rFonts w:hint="eastAsia" w:ascii="宋体" w:hAnsi="宋体" w:cs="Arial"/>
                <w:color w:val="auto"/>
                <w:sz w:val="24"/>
                <w:highlight w:val="none"/>
                <w:lang w:val="en-US" w:eastAsia="zh-CN"/>
              </w:rPr>
              <w:t>根据配送及售后服务承诺情况进行评分，配送及售后服务承诺完整、培训、跟台、紧急配送等响应程度高得10分；响应程度较高得5分；响应程度差得1分，未提供承诺不得分。</w:t>
            </w:r>
            <w:bookmarkStart w:id="0" w:name="_GoBack"/>
            <w:bookmarkEnd w:id="0"/>
          </w:p>
        </w:tc>
      </w:tr>
      <w:tr w14:paraId="458E3E66">
        <w:tblPrEx>
          <w:shd w:val="clear" w:color="auto" w:fill="auto"/>
          <w:tblCellMar>
            <w:top w:w="0" w:type="dxa"/>
            <w:left w:w="0" w:type="dxa"/>
            <w:bottom w:w="0" w:type="dxa"/>
            <w:right w:w="0" w:type="dxa"/>
          </w:tblCellMar>
        </w:tblPrEx>
        <w:trPr>
          <w:trHeight w:val="685" w:hRule="atLeast"/>
          <w:jc w:val="center"/>
        </w:trPr>
        <w:tc>
          <w:tcPr>
            <w:tcW w:w="7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D9FC48">
            <w:pPr>
              <w:keepNext w:val="0"/>
              <w:keepLines w:val="0"/>
              <w:widowControl/>
              <w:suppressLineNumbers w:val="0"/>
              <w:spacing w:before="0" w:beforeAutospacing="0" w:after="0" w:afterAutospacing="0"/>
              <w:ind w:left="0" w:leftChars="0" w:right="0" w:firstLine="0" w:firstLineChars="0"/>
              <w:jc w:val="center"/>
              <w:textAlignment w:val="center"/>
              <w:rPr>
                <w:rFonts w:hint="default"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5</w:t>
            </w:r>
          </w:p>
        </w:tc>
        <w:tc>
          <w:tcPr>
            <w:tcW w:w="15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2097D2">
            <w:pPr>
              <w:keepNext w:val="0"/>
              <w:keepLines w:val="0"/>
              <w:widowControl/>
              <w:suppressLineNumbers w:val="0"/>
              <w:spacing w:before="0" w:beforeAutospacing="0" w:after="0" w:afterAutospacing="0" w:line="240" w:lineRule="auto"/>
              <w:ind w:left="0" w:leftChars="0" w:right="0" w:firstLine="0" w:firstLineChars="0"/>
              <w:jc w:val="center"/>
              <w:textAlignment w:val="center"/>
              <w:rPr>
                <w:rFonts w:hint="default" w:eastAsia="宋体" w:cs="宋体"/>
                <w:i w:val="0"/>
                <w:color w:val="000000"/>
                <w:kern w:val="0"/>
                <w:sz w:val="22"/>
                <w:szCs w:val="22"/>
                <w:u w:val="none"/>
                <w:lang w:val="en-US" w:eastAsia="zh-CN" w:bidi="ar"/>
              </w:rPr>
            </w:pPr>
            <w:r>
              <w:rPr>
                <w:rFonts w:hint="eastAsia" w:ascii="宋体" w:hAnsi="宋体" w:cs="Arial"/>
                <w:color w:val="auto"/>
                <w:sz w:val="24"/>
                <w:highlight w:val="none"/>
              </w:rPr>
              <w:t>应急方案</w:t>
            </w:r>
            <w:r>
              <w:rPr>
                <w:rFonts w:hint="eastAsia" w:ascii="宋体" w:hAnsi="宋体" w:cs="Arial"/>
                <w:color w:val="auto"/>
                <w:sz w:val="24"/>
                <w:highlight w:val="none"/>
                <w:lang w:val="en-US" w:eastAsia="zh-CN"/>
              </w:rPr>
              <w:t>10分</w:t>
            </w:r>
          </w:p>
        </w:tc>
        <w:tc>
          <w:tcPr>
            <w:tcW w:w="71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3910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针对</w:t>
            </w:r>
            <w:r>
              <w:rPr>
                <w:rFonts w:hint="eastAsia" w:ascii="宋体" w:hAnsi="宋体" w:cs="宋体"/>
                <w:color w:val="auto"/>
                <w:sz w:val="24"/>
                <w:highlight w:val="none"/>
                <w:lang w:val="en-US" w:eastAsia="zh-CN"/>
              </w:rPr>
              <w:t>医用耗材</w:t>
            </w:r>
            <w:r>
              <w:rPr>
                <w:rFonts w:hint="eastAsia" w:ascii="宋体" w:hAnsi="宋体" w:cs="宋体"/>
                <w:color w:val="auto"/>
                <w:sz w:val="24"/>
                <w:highlight w:val="none"/>
              </w:rPr>
              <w:t>制定应急预案（满分</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p>
          <w:p w14:paraId="1D1E39A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应急预案考虑到的突发状况全面，解决措施中响应时间最及时、解决办法快捷有效的得</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p>
          <w:p w14:paraId="5EADF65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应急预案考虑到的突发状况较全面或解决措施中响应时间较及时、但解决办法快捷较有效的得</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分；</w:t>
            </w:r>
          </w:p>
          <w:p w14:paraId="66BA6B6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应急预案考虑到的突发状况有瑕疵，响应时间及解决办法较差的得</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分；</w:t>
            </w:r>
          </w:p>
          <w:p w14:paraId="7060D843">
            <w:pPr>
              <w:keepNext w:val="0"/>
              <w:keepLines w:val="0"/>
              <w:widowControl/>
              <w:numPr>
                <w:ilvl w:val="0"/>
                <w:numId w:val="0"/>
              </w:numPr>
              <w:suppressLineNumbers w:val="0"/>
              <w:spacing w:before="0" w:beforeAutospacing="0" w:after="0" w:afterAutospacing="0" w:line="240" w:lineRule="auto"/>
              <w:ind w:left="0" w:leftChars="0" w:right="0"/>
              <w:jc w:val="left"/>
              <w:textAlignment w:val="center"/>
              <w:rPr>
                <w:rFonts w:hint="eastAsia" w:cs="宋体"/>
                <w:i w:val="0"/>
                <w:color w:val="000000"/>
                <w:kern w:val="0"/>
                <w:sz w:val="22"/>
                <w:szCs w:val="22"/>
                <w:u w:val="none"/>
                <w:lang w:val="en-US" w:eastAsia="zh-CN" w:bidi="ar"/>
              </w:rPr>
            </w:pPr>
            <w:r>
              <w:rPr>
                <w:rFonts w:hint="eastAsia" w:ascii="宋体" w:hAnsi="宋体" w:cs="宋体"/>
                <w:color w:val="auto"/>
                <w:sz w:val="24"/>
                <w:highlight w:val="none"/>
              </w:rPr>
              <w:t>应急预案考虑到的突发状况不够全面、响应时间不够及时且解决办法欠缺的得1分；未提供不得分。</w:t>
            </w:r>
          </w:p>
        </w:tc>
      </w:tr>
    </w:tbl>
    <w:p w14:paraId="71625E7F">
      <w:pPr>
        <w:rPr>
          <w:rFonts w:hint="eastAsia" w:ascii="宋体" w:hAnsi="宋体" w:eastAsia="宋体" w:cs="Times New Roman"/>
          <w:b/>
          <w:sz w:val="44"/>
          <w:szCs w:val="44"/>
        </w:rPr>
      </w:pPr>
    </w:p>
    <w:p w14:paraId="78B9BD0C">
      <w:pPr>
        <w:rPr>
          <w:rFonts w:hint="eastAsia" w:ascii="宋体" w:hAnsi="宋体" w:eastAsia="宋体" w:cs="Times New Roman"/>
          <w:b/>
          <w:sz w:val="44"/>
          <w:szCs w:val="44"/>
        </w:rPr>
      </w:pPr>
    </w:p>
    <w:p w14:paraId="7F634B7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1F0B85"/>
    <w:rsid w:val="2BEB5086"/>
    <w:rsid w:val="482348D6"/>
    <w:rsid w:val="708B1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tLeast"/>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613</Words>
  <Characters>628</Characters>
  <Lines>0</Lines>
  <Paragraphs>0</Paragraphs>
  <TotalTime>83</TotalTime>
  <ScaleCrop>false</ScaleCrop>
  <LinksUpToDate>false</LinksUpToDate>
  <CharactersWithSpaces>655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2026-06-09T08:46:00Z</dcterms:created>
  <dc:creator>Administrator</dc:creator>
  <cp:lastModifiedBy>白博仁</cp:lastModifiedBy>
  <cp:lastPrinted>2026-07-03T00:00:55Z</cp:lastPrinted>
  <dcterms:modified xsi:type="dcterms:W3CDTF">2026-07-03T01:25:18Z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KSOTemplateDocerSaveRecord">
    <vt:lpwstr>eyJoZGlkIjoiMTk5OTY4M2M0NTkyMGE5NDk3OGE5OWNkMTI5ZmExOTQiLCJ1c2VySWQiOiIxNzY1MzIyNjg1In0=</vt:lpwstr>
  </property>
  <property fmtid="{D5CDD505-2E9C-101B-9397-08002B2CF9AE}" pid="4" name="ICV">
    <vt:lpwstr>6080AEB3D02643F5A34AA539DE19E61B_13</vt:lpwstr>
  </property>
</Properties>
</file>